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41F9B" w14:textId="6EAB6D33" w:rsidR="006C2A7D" w:rsidRPr="00C30DB0" w:rsidRDefault="00BA3A01" w:rsidP="009F35C8">
      <w:pPr>
        <w:rPr>
          <w:b/>
          <w:bCs/>
          <w:lang w:val="en-US"/>
        </w:rPr>
      </w:pPr>
      <w:bookmarkStart w:id="0" w:name="_GoBack"/>
      <w:r>
        <w:rPr>
          <w:b/>
          <w:bCs/>
          <w:lang w:val="en-US"/>
        </w:rPr>
        <w:t>CÁC</w:t>
      </w:r>
      <w:r w:rsidRPr="006C2A7D">
        <w:rPr>
          <w:b/>
          <w:bCs/>
        </w:rPr>
        <w:t xml:space="preserve"> HỢP ĐỒNG VỀ NHÀ ĐẤT KHÔNG BẮT BUỘC PHẢI CÔNG CHỨNG</w:t>
      </w:r>
      <w:r>
        <w:rPr>
          <w:b/>
          <w:bCs/>
          <w:lang w:val="en-US"/>
        </w:rPr>
        <w:t>, CHỨNG THỰC</w:t>
      </w:r>
    </w:p>
    <w:bookmarkEnd w:id="0"/>
    <w:p w14:paraId="4E82398B" w14:textId="416CD13D" w:rsidR="006C2A7D" w:rsidRPr="006C2A7D" w:rsidRDefault="006C2A7D" w:rsidP="00EA2987">
      <w:pPr>
        <w:ind w:firstLine="720"/>
        <w:rPr>
          <w:lang w:val="en-US"/>
        </w:rPr>
      </w:pPr>
      <w:r w:rsidRPr="006C2A7D">
        <w:rPr>
          <w:lang w:val="en-US"/>
        </w:rPr>
        <w:t xml:space="preserve">Theo quy định của pháp luật </w:t>
      </w:r>
      <w:r w:rsidR="0068715A">
        <w:rPr>
          <w:lang w:val="en-US"/>
        </w:rPr>
        <w:t>thì h</w:t>
      </w:r>
      <w:r w:rsidRPr="006C2A7D">
        <w:t xml:space="preserve">ầu hết các giao dịch </w:t>
      </w:r>
      <w:r w:rsidR="00C44ABE">
        <w:rPr>
          <w:lang w:val="en-US"/>
        </w:rPr>
        <w:t>liên quan đến</w:t>
      </w:r>
      <w:r w:rsidRPr="006C2A7D">
        <w:t xml:space="preserve"> nhà đất như</w:t>
      </w:r>
      <w:r w:rsidRPr="006C2A7D">
        <w:rPr>
          <w:lang w:val="en-US"/>
        </w:rPr>
        <w:t>:</w:t>
      </w:r>
      <w:r w:rsidRPr="006C2A7D">
        <w:t xml:space="preserve"> chuyển nhượng, tặng cho quyền sử dụng đất hoặc mua bán nhà ở</w:t>
      </w:r>
      <w:r w:rsidR="00C82343">
        <w:rPr>
          <w:lang w:val="en-US"/>
        </w:rPr>
        <w:t xml:space="preserve"> được</w:t>
      </w:r>
      <w:r w:rsidRPr="006C2A7D">
        <w:t xml:space="preserve"> lập </w:t>
      </w:r>
      <w:r w:rsidR="00C44ABE">
        <w:rPr>
          <w:lang w:val="en-US"/>
        </w:rPr>
        <w:t xml:space="preserve">thành hợp đồng </w:t>
      </w:r>
      <w:r w:rsidRPr="006C2A7D">
        <w:t xml:space="preserve">và </w:t>
      </w:r>
      <w:r w:rsidR="0083343A">
        <w:rPr>
          <w:lang w:val="en-US"/>
        </w:rPr>
        <w:t xml:space="preserve">phải thực hiện </w:t>
      </w:r>
      <w:r w:rsidRPr="006C2A7D">
        <w:t>công chứng hoặc chứng thực. Tuy nhiên, vẫn có một số trường hợp đặc biệt</w:t>
      </w:r>
      <w:r w:rsidR="00C82343">
        <w:rPr>
          <w:lang w:val="en-US"/>
        </w:rPr>
        <w:t xml:space="preserve">, </w:t>
      </w:r>
      <w:r w:rsidR="0068715A">
        <w:rPr>
          <w:lang w:val="en-US"/>
        </w:rPr>
        <w:t xml:space="preserve">pháp luật </w:t>
      </w:r>
      <w:r w:rsidRPr="006C2A7D">
        <w:t>không bắt buộc phải công chứng, chứng thực</w:t>
      </w:r>
      <w:r w:rsidR="00EA2987">
        <w:rPr>
          <w:lang w:val="en-US"/>
        </w:rPr>
        <w:t>, cụ thể:</w:t>
      </w:r>
    </w:p>
    <w:p w14:paraId="3811CF12" w14:textId="77777777" w:rsidR="006C2A7D" w:rsidRPr="006C2A7D" w:rsidRDefault="006C2A7D" w:rsidP="00EA2987">
      <w:pPr>
        <w:rPr>
          <w:b/>
          <w:bCs/>
        </w:rPr>
      </w:pPr>
      <w:r w:rsidRPr="006C2A7D">
        <w:rPr>
          <w:b/>
          <w:bCs/>
        </w:rPr>
        <w:t>1. Hợp đồng về quyền sử dụng đất</w:t>
      </w:r>
    </w:p>
    <w:p w14:paraId="1E41C9B8" w14:textId="77777777" w:rsidR="006C2A7D" w:rsidRPr="006C2A7D" w:rsidRDefault="006C2A7D" w:rsidP="00EA2987">
      <w:pPr>
        <w:ind w:firstLine="720"/>
      </w:pPr>
      <w:r w:rsidRPr="006C2A7D">
        <w:t>Căn cứ khoản 3 Điều 27 </w:t>
      </w:r>
      <w:hyperlink r:id="rId5" w:history="1">
        <w:r w:rsidRPr="006C2A7D">
          <w:rPr>
            <w:rStyle w:val="Hyperlink"/>
            <w:color w:val="auto"/>
            <w:u w:val="none"/>
          </w:rPr>
          <w:t>Luật Đất đai năm 2024</w:t>
        </w:r>
      </w:hyperlink>
      <w:r w:rsidRPr="006C2A7D">
        <w:t>, hợp đồng thuộc các trường hợp sau đây không bắt buộc phải công chứng hoặc chứng thực:</w:t>
      </w:r>
    </w:p>
    <w:p w14:paraId="5CE46C10" w14:textId="77777777" w:rsidR="006C2A7D" w:rsidRPr="006C2A7D" w:rsidRDefault="006C2A7D" w:rsidP="00EA2987">
      <w:pPr>
        <w:ind w:firstLine="720"/>
      </w:pPr>
      <w:r w:rsidRPr="006C2A7D">
        <w:t>- Hợp đồng cho thuê, cho thuê lại quyền sử dụng đất, quyền sử dụng đất và tài sản gắn liền với đất, hợp đồng chuyển đổi quyền sử dụng đất nông nghiệp;</w:t>
      </w:r>
    </w:p>
    <w:p w14:paraId="421281F2" w14:textId="77777777" w:rsidR="006C2A7D" w:rsidRPr="006C2A7D" w:rsidRDefault="006C2A7D" w:rsidP="00EA2987">
      <w:pPr>
        <w:ind w:firstLine="720"/>
      </w:pPr>
      <w:r w:rsidRPr="006C2A7D">
        <w:t xml:space="preserve">- Hợp đồng chuyển nhượng, góp vốn bằng quyền sử dụng đất, quyền sử dụng đất và tài sản gắn liền với đất, tài sản gắn liền với đất mà </w:t>
      </w:r>
      <w:r w:rsidRPr="007C2EBE">
        <w:rPr>
          <w:i/>
          <w:iCs/>
        </w:rPr>
        <w:t>một bên hoặc các bên tham gia giao dịch là tổ chức hoạt động kinh doanh bất động sản.</w:t>
      </w:r>
    </w:p>
    <w:p w14:paraId="5B0FFC7A" w14:textId="588B9243" w:rsidR="006C2A7D" w:rsidRPr="006C2A7D" w:rsidRDefault="007C2EBE" w:rsidP="007C2EBE">
      <w:r>
        <w:rPr>
          <w:lang w:val="en-US"/>
        </w:rPr>
        <w:t>Theo đó, c</w:t>
      </w:r>
      <w:r w:rsidR="006C2A7D" w:rsidRPr="006C2A7D">
        <w:t>ác loại hợp đồng trên không bắt buộc phải công chứng/chứng thực nhưng có thể công chứng</w:t>
      </w:r>
      <w:r w:rsidR="00B31F9A">
        <w:rPr>
          <w:lang w:val="en-US"/>
        </w:rPr>
        <w:t xml:space="preserve"> hoặc </w:t>
      </w:r>
      <w:r w:rsidR="006C2A7D" w:rsidRPr="006C2A7D">
        <w:t>chứng thực theo yêu cầu của các bên.</w:t>
      </w:r>
    </w:p>
    <w:p w14:paraId="0BB91E82" w14:textId="2809F648" w:rsidR="006C2A7D" w:rsidRPr="006C2A7D" w:rsidRDefault="00F74C37" w:rsidP="006C2A7D">
      <w:pPr>
        <w:rPr>
          <w:i/>
          <w:iCs/>
          <w:lang w:val="en-US"/>
        </w:rPr>
      </w:pPr>
      <w:r w:rsidRPr="006C2A7D">
        <w:rPr>
          <w:i/>
          <w:iCs/>
          <w:noProof/>
          <w:lang w:val="en-US"/>
        </w:rPr>
        <w:drawing>
          <wp:anchor distT="0" distB="0" distL="114300" distR="114300" simplePos="0" relativeHeight="251658240" behindDoc="0" locked="0" layoutInCell="1" allowOverlap="1" wp14:anchorId="75C68C5F" wp14:editId="2139EC91">
            <wp:simplePos x="0" y="0"/>
            <wp:positionH relativeFrom="margin">
              <wp:align>right</wp:align>
            </wp:positionH>
            <wp:positionV relativeFrom="paragraph">
              <wp:posOffset>322580</wp:posOffset>
            </wp:positionV>
            <wp:extent cx="5730875" cy="1781175"/>
            <wp:effectExtent l="0" t="0" r="3175" b="9525"/>
            <wp:wrapSquare wrapText="bothSides"/>
            <wp:docPr id="2081790108" name="Picture 4" descr="Toàn bộ hợp đồng nhà đất không bắt buộc công ch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àn bộ hợp đồng nhà đất không bắt buộc công chứng"/>
                    <pic:cNvPicPr>
                      <a:picLocks noChangeAspect="1" noChangeArrowheads="1"/>
                    </pic:cNvPicPr>
                  </pic:nvPicPr>
                  <pic:blipFill rotWithShape="1">
                    <a:blip r:embed="rId6">
                      <a:extLst>
                        <a:ext uri="{28A0092B-C50C-407E-A947-70E740481C1C}">
                          <a14:useLocalDpi xmlns:a14="http://schemas.microsoft.com/office/drawing/2010/main" val="0"/>
                        </a:ext>
                      </a:extLst>
                    </a:blip>
                    <a:srcRect b="13465"/>
                    <a:stretch/>
                  </pic:blipFill>
                  <pic:spPr bwMode="auto">
                    <a:xfrm>
                      <a:off x="0" y="0"/>
                      <a:ext cx="5730875" cy="17811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F55ACD0" w14:textId="421B2FEA" w:rsidR="006C2A7D" w:rsidRPr="006C2A7D" w:rsidRDefault="0068715A" w:rsidP="006C2A7D">
      <w:pPr>
        <w:ind w:left="2160" w:firstLine="720"/>
      </w:pPr>
      <w:r>
        <w:rPr>
          <w:i/>
          <w:iCs/>
          <w:lang w:val="en-US"/>
        </w:rPr>
        <w:t xml:space="preserve">          </w:t>
      </w:r>
      <w:r w:rsidR="006C2A7D" w:rsidRPr="006C2A7D">
        <w:rPr>
          <w:i/>
          <w:iCs/>
        </w:rPr>
        <w:t>(Ảnh minh họa)</w:t>
      </w:r>
    </w:p>
    <w:p w14:paraId="64D36EE4" w14:textId="4868BDF9" w:rsidR="006C2A7D" w:rsidRDefault="00F74C37" w:rsidP="00F74C37">
      <w:pPr>
        <w:ind w:firstLine="720"/>
        <w:rPr>
          <w:b/>
          <w:bCs/>
          <w:lang w:val="en-US"/>
        </w:rPr>
      </w:pPr>
      <w:r>
        <w:rPr>
          <w:b/>
          <w:bCs/>
          <w:lang w:val="en-US"/>
        </w:rPr>
        <w:t>2.</w:t>
      </w:r>
      <w:r w:rsidR="006C2A7D" w:rsidRPr="006C2A7D">
        <w:rPr>
          <w:b/>
          <w:bCs/>
        </w:rPr>
        <w:t xml:space="preserve"> Hợp đồng về nhà ở</w:t>
      </w:r>
    </w:p>
    <w:p w14:paraId="1E521E09" w14:textId="77777777" w:rsidR="006C2A7D" w:rsidRPr="006C2A7D" w:rsidRDefault="006C2A7D" w:rsidP="00EA2987">
      <w:pPr>
        <w:ind w:firstLine="720"/>
      </w:pPr>
      <w:r w:rsidRPr="006C2A7D">
        <w:t>Theo khoản 2 Điều 164 </w:t>
      </w:r>
      <w:hyperlink r:id="rId7" w:history="1">
        <w:r w:rsidRPr="006C2A7D">
          <w:rPr>
            <w:rStyle w:val="Hyperlink"/>
            <w:color w:val="auto"/>
            <w:u w:val="none"/>
          </w:rPr>
          <w:t>Luật Nhà ở năm 2023</w:t>
        </w:r>
      </w:hyperlink>
      <w:r w:rsidRPr="006C2A7D">
        <w:t>, những giao dịch về nhà ở sau đây không bắt buộc phải công chứng, chứng thực hợp đồng:</w:t>
      </w:r>
    </w:p>
    <w:p w14:paraId="4F5706C0" w14:textId="77777777" w:rsidR="006C2A7D" w:rsidRPr="006C2A7D" w:rsidRDefault="006C2A7D" w:rsidP="00EA2987">
      <w:pPr>
        <w:ind w:firstLine="720"/>
      </w:pPr>
      <w:r w:rsidRPr="006C2A7D">
        <w:t>- Trường hợp tổ chức tặng cho nhà tình nghĩa, nhà tình thương, nhà đại đoàn kết;</w:t>
      </w:r>
    </w:p>
    <w:p w14:paraId="58AAD887" w14:textId="77777777" w:rsidR="006C2A7D" w:rsidRPr="006C2A7D" w:rsidRDefault="006C2A7D" w:rsidP="00EA2987">
      <w:pPr>
        <w:ind w:firstLine="720"/>
      </w:pPr>
      <w:r w:rsidRPr="006C2A7D">
        <w:t>- Mua bán, thuê mua nhà ở thuộc tài sản công; mua bán, thuê mua nhà ở mà một bên là tổ chức, bao gồm:</w:t>
      </w:r>
    </w:p>
    <w:p w14:paraId="2D4198A6" w14:textId="77777777" w:rsidR="006C2A7D" w:rsidRPr="006C2A7D" w:rsidRDefault="006C2A7D" w:rsidP="00E627DB">
      <w:pPr>
        <w:numPr>
          <w:ilvl w:val="0"/>
          <w:numId w:val="2"/>
        </w:numPr>
        <w:tabs>
          <w:tab w:val="clear" w:pos="720"/>
        </w:tabs>
        <w:ind w:hanging="11"/>
      </w:pPr>
      <w:r w:rsidRPr="006C2A7D">
        <w:lastRenderedPageBreak/>
        <w:t>Nhà ở xã hội, nhà ở cho lực lượng vũ trang nhân dân, nhà ở phục vụ tái định cư; góp vốn bằng nhà ở mà có một bên là tổ chức;</w:t>
      </w:r>
    </w:p>
    <w:p w14:paraId="4889D778" w14:textId="77777777" w:rsidR="006C2A7D" w:rsidRPr="006C2A7D" w:rsidRDefault="006C2A7D" w:rsidP="00E627DB">
      <w:pPr>
        <w:numPr>
          <w:ilvl w:val="0"/>
          <w:numId w:val="2"/>
        </w:numPr>
        <w:ind w:firstLine="273"/>
      </w:pPr>
      <w:r w:rsidRPr="006C2A7D">
        <w:t>Thuê, mượn, ở nhờ, ủy quyền quản lý nhà ở thì không phải thực hiện công chứng, chứng thực hợp đồng, trừ trường hợp các bên có nhu cầu.</w:t>
      </w:r>
    </w:p>
    <w:p w14:paraId="6B1BF527" w14:textId="77777777" w:rsidR="006C2A7D" w:rsidRPr="006C2A7D" w:rsidRDefault="006C2A7D" w:rsidP="00EA2987">
      <w:pPr>
        <w:ind w:firstLine="720"/>
      </w:pPr>
      <w:r w:rsidRPr="006C2A7D">
        <w:t>Đối với giao dịch quy định tại khoản này thì thời điểm có hiệu lực của hợp đồng là do các bên thỏa thuận. Trường hợp các bên không có thỏa thuận thì thời điểm có hiệu lực của hợp đồng là thời điểm ký kết hợp đồng.</w:t>
      </w:r>
    </w:p>
    <w:p w14:paraId="2A98BBDA" w14:textId="77777777" w:rsidR="006C2A7D" w:rsidRPr="006C2A7D" w:rsidRDefault="006C2A7D" w:rsidP="00EA2987">
      <w:pPr>
        <w:ind w:firstLine="720"/>
        <w:rPr>
          <w:b/>
          <w:bCs/>
        </w:rPr>
      </w:pPr>
      <w:r w:rsidRPr="006C2A7D">
        <w:rPr>
          <w:b/>
          <w:bCs/>
        </w:rPr>
        <w:t>3. Hợp đồng kinh doanh bất động sản</w:t>
      </w:r>
    </w:p>
    <w:p w14:paraId="70D74269" w14:textId="362B714D" w:rsidR="006C2A7D" w:rsidRPr="006C2A7D" w:rsidRDefault="006C2A7D" w:rsidP="00EA2987">
      <w:pPr>
        <w:ind w:firstLine="720"/>
      </w:pPr>
      <w:r w:rsidRPr="006C2A7D">
        <w:t>Theo Điều 44 Luật Kinh doanh bất động sản 2023, hợp đồng kinh doanh bất động sản, hợp đồng kinh doanh dịch vụ bất động sản mà ít nhất một bên tham gia giao dịch là doanh nghiệp kinh doanh bất động sản </w:t>
      </w:r>
      <w:r w:rsidRPr="000D7388">
        <w:t>được công chứng hoặc chứng thực theo yêu cầu của các bên.</w:t>
      </w:r>
      <w:r w:rsidR="00EA2987" w:rsidRPr="000D7388">
        <w:rPr>
          <w:lang w:val="en-US"/>
        </w:rPr>
        <w:t xml:space="preserve"> </w:t>
      </w:r>
      <w:r w:rsidRPr="006C2A7D">
        <w:t>Tức là loại hợp đồng trên không bắt buộc phải công chứng, chứng thực.</w:t>
      </w:r>
    </w:p>
    <w:p w14:paraId="0D1BAC76" w14:textId="77777777" w:rsidR="006C2A7D" w:rsidRPr="006C2A7D" w:rsidRDefault="006C2A7D" w:rsidP="0060422B">
      <w:r w:rsidRPr="006C2A7D">
        <w:t>Thời điểm có hiệu lực của hợp đồng là thời điểm bên sau cùng ký vào hợp đồng hoặc bằng hình thức chấp nhận khác được thể hiện trên hợp đồng, trừ trường hợp các bên có thỏa thuận khác.</w:t>
      </w:r>
    </w:p>
    <w:p w14:paraId="79B3D726" w14:textId="77777777" w:rsidR="006C2A7D" w:rsidRDefault="006C2A7D" w:rsidP="000D7388">
      <w:pPr>
        <w:rPr>
          <w:lang w:val="en-US"/>
        </w:rPr>
      </w:pPr>
      <w:r w:rsidRPr="006C2A7D">
        <w:t>Trường hợp hợp đồng có công chứng hoặc chứng thực thì thời điểm có hiệu lực của hợp đồng là thời điểm văn bản công chứng, chứng thực có hiệu lực theo quy định của pháp luật về công chứng, chứng thực.</w:t>
      </w:r>
    </w:p>
    <w:p w14:paraId="351E18A9" w14:textId="77777777" w:rsidR="00646C91" w:rsidRPr="006C2A7D" w:rsidRDefault="00646C91"/>
    <w:sectPr w:rsidR="00646C91" w:rsidRPr="006C2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403A1"/>
    <w:multiLevelType w:val="multilevel"/>
    <w:tmpl w:val="AB54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ED2FC7"/>
    <w:multiLevelType w:val="multilevel"/>
    <w:tmpl w:val="1E1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7D"/>
    <w:rsid w:val="000D7388"/>
    <w:rsid w:val="001A17E7"/>
    <w:rsid w:val="00204EB9"/>
    <w:rsid w:val="002F10F5"/>
    <w:rsid w:val="00473DCD"/>
    <w:rsid w:val="005B726C"/>
    <w:rsid w:val="0060422B"/>
    <w:rsid w:val="00646C91"/>
    <w:rsid w:val="0068037B"/>
    <w:rsid w:val="0068715A"/>
    <w:rsid w:val="006C2A7D"/>
    <w:rsid w:val="007C2EBE"/>
    <w:rsid w:val="007C529E"/>
    <w:rsid w:val="0083343A"/>
    <w:rsid w:val="00862DA9"/>
    <w:rsid w:val="00957D2D"/>
    <w:rsid w:val="009F35C8"/>
    <w:rsid w:val="00B31F9A"/>
    <w:rsid w:val="00B34B8C"/>
    <w:rsid w:val="00BA3A01"/>
    <w:rsid w:val="00C30DB0"/>
    <w:rsid w:val="00C317F1"/>
    <w:rsid w:val="00C44ABE"/>
    <w:rsid w:val="00C734E8"/>
    <w:rsid w:val="00C82343"/>
    <w:rsid w:val="00CF7120"/>
    <w:rsid w:val="00DB3D40"/>
    <w:rsid w:val="00E627DB"/>
    <w:rsid w:val="00EA2987"/>
    <w:rsid w:val="00F74C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C955"/>
  <w15:chartTrackingRefBased/>
  <w15:docId w15:val="{2088CD4C-4E2E-4D29-A79E-AFD44C91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A7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C2A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C2A7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C2A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2A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2A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2A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A7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C2A7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C2A7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C2A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2A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2A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2A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2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A7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C2A7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C2A7D"/>
    <w:pPr>
      <w:spacing w:before="160"/>
      <w:jc w:val="center"/>
    </w:pPr>
    <w:rPr>
      <w:i/>
      <w:iCs/>
      <w:color w:val="404040" w:themeColor="text1" w:themeTint="BF"/>
    </w:rPr>
  </w:style>
  <w:style w:type="character" w:customStyle="1" w:styleId="QuoteChar">
    <w:name w:val="Quote Char"/>
    <w:basedOn w:val="DefaultParagraphFont"/>
    <w:link w:val="Quote"/>
    <w:uiPriority w:val="29"/>
    <w:rsid w:val="006C2A7D"/>
    <w:rPr>
      <w:i/>
      <w:iCs/>
      <w:color w:val="404040" w:themeColor="text1" w:themeTint="BF"/>
    </w:rPr>
  </w:style>
  <w:style w:type="paragraph" w:styleId="ListParagraph">
    <w:name w:val="List Paragraph"/>
    <w:basedOn w:val="Normal"/>
    <w:uiPriority w:val="34"/>
    <w:qFormat/>
    <w:rsid w:val="006C2A7D"/>
    <w:pPr>
      <w:ind w:left="720"/>
      <w:contextualSpacing/>
    </w:pPr>
  </w:style>
  <w:style w:type="character" w:styleId="IntenseEmphasis">
    <w:name w:val="Intense Emphasis"/>
    <w:basedOn w:val="DefaultParagraphFont"/>
    <w:uiPriority w:val="21"/>
    <w:qFormat/>
    <w:rsid w:val="006C2A7D"/>
    <w:rPr>
      <w:i/>
      <w:iCs/>
      <w:color w:val="0F4761" w:themeColor="accent1" w:themeShade="BF"/>
    </w:rPr>
  </w:style>
  <w:style w:type="paragraph" w:styleId="IntenseQuote">
    <w:name w:val="Intense Quote"/>
    <w:basedOn w:val="Normal"/>
    <w:next w:val="Normal"/>
    <w:link w:val="IntenseQuoteChar"/>
    <w:uiPriority w:val="30"/>
    <w:qFormat/>
    <w:rsid w:val="006C2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A7D"/>
    <w:rPr>
      <w:i/>
      <w:iCs/>
      <w:color w:val="0F4761" w:themeColor="accent1" w:themeShade="BF"/>
    </w:rPr>
  </w:style>
  <w:style w:type="character" w:styleId="IntenseReference">
    <w:name w:val="Intense Reference"/>
    <w:basedOn w:val="DefaultParagraphFont"/>
    <w:uiPriority w:val="32"/>
    <w:qFormat/>
    <w:rsid w:val="006C2A7D"/>
    <w:rPr>
      <w:b/>
      <w:bCs/>
      <w:smallCaps/>
      <w:color w:val="0F4761" w:themeColor="accent1" w:themeShade="BF"/>
      <w:spacing w:val="5"/>
    </w:rPr>
  </w:style>
  <w:style w:type="character" w:styleId="Hyperlink">
    <w:name w:val="Hyperlink"/>
    <w:basedOn w:val="DefaultParagraphFont"/>
    <w:uiPriority w:val="99"/>
    <w:unhideWhenUsed/>
    <w:rsid w:val="006C2A7D"/>
    <w:rPr>
      <w:color w:val="467886" w:themeColor="hyperlink"/>
      <w:u w:val="single"/>
    </w:rPr>
  </w:style>
  <w:style w:type="character" w:customStyle="1" w:styleId="UnresolvedMention">
    <w:name w:val="Unresolved Mention"/>
    <w:basedOn w:val="DefaultParagraphFont"/>
    <w:uiPriority w:val="99"/>
    <w:semiHidden/>
    <w:unhideWhenUsed/>
    <w:rsid w:val="006C2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3429">
      <w:bodyDiv w:val="1"/>
      <w:marLeft w:val="0"/>
      <w:marRight w:val="0"/>
      <w:marTop w:val="0"/>
      <w:marBottom w:val="0"/>
      <w:divBdr>
        <w:top w:val="none" w:sz="0" w:space="0" w:color="auto"/>
        <w:left w:val="none" w:sz="0" w:space="0" w:color="auto"/>
        <w:bottom w:val="none" w:sz="0" w:space="0" w:color="auto"/>
        <w:right w:val="none" w:sz="0" w:space="0" w:color="auto"/>
      </w:divBdr>
      <w:divsChild>
        <w:div w:id="638269597">
          <w:marLeft w:val="0"/>
          <w:marRight w:val="0"/>
          <w:marTop w:val="0"/>
          <w:marBottom w:val="240"/>
          <w:divBdr>
            <w:top w:val="none" w:sz="0" w:space="0" w:color="auto"/>
            <w:left w:val="none" w:sz="0" w:space="0" w:color="auto"/>
            <w:bottom w:val="none" w:sz="0" w:space="0" w:color="auto"/>
            <w:right w:val="none" w:sz="0" w:space="0" w:color="auto"/>
          </w:divBdr>
          <w:divsChild>
            <w:div w:id="735712448">
              <w:marLeft w:val="0"/>
              <w:marRight w:val="0"/>
              <w:marTop w:val="0"/>
              <w:marBottom w:val="0"/>
              <w:divBdr>
                <w:top w:val="none" w:sz="0" w:space="0" w:color="auto"/>
                <w:left w:val="none" w:sz="0" w:space="0" w:color="auto"/>
                <w:bottom w:val="none" w:sz="0" w:space="0" w:color="auto"/>
                <w:right w:val="none" w:sz="0" w:space="0" w:color="auto"/>
              </w:divBdr>
            </w:div>
            <w:div w:id="917253064">
              <w:marLeft w:val="0"/>
              <w:marRight w:val="0"/>
              <w:marTop w:val="0"/>
              <w:marBottom w:val="0"/>
              <w:divBdr>
                <w:top w:val="none" w:sz="0" w:space="0" w:color="auto"/>
                <w:left w:val="none" w:sz="0" w:space="0" w:color="auto"/>
                <w:bottom w:val="none" w:sz="0" w:space="0" w:color="auto"/>
                <w:right w:val="none" w:sz="0" w:space="0" w:color="auto"/>
              </w:divBdr>
              <w:divsChild>
                <w:div w:id="2015524131">
                  <w:marLeft w:val="0"/>
                  <w:marRight w:val="0"/>
                  <w:marTop w:val="0"/>
                  <w:marBottom w:val="0"/>
                  <w:divBdr>
                    <w:top w:val="none" w:sz="0" w:space="0" w:color="auto"/>
                    <w:left w:val="none" w:sz="0" w:space="0" w:color="auto"/>
                    <w:bottom w:val="none" w:sz="0" w:space="0" w:color="auto"/>
                    <w:right w:val="none" w:sz="0" w:space="0" w:color="auto"/>
                  </w:divBdr>
                </w:div>
              </w:divsChild>
            </w:div>
            <w:div w:id="1589194802">
              <w:marLeft w:val="0"/>
              <w:marRight w:val="0"/>
              <w:marTop w:val="240"/>
              <w:marBottom w:val="240"/>
              <w:divBdr>
                <w:top w:val="single" w:sz="6" w:space="9" w:color="E0E0E0"/>
                <w:left w:val="single" w:sz="6" w:space="12" w:color="E0E0E0"/>
                <w:bottom w:val="single" w:sz="6" w:space="9" w:color="E0E0E0"/>
                <w:right w:val="single" w:sz="6" w:space="12" w:color="E0E0E0"/>
              </w:divBdr>
              <w:divsChild>
                <w:div w:id="1059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206">
          <w:marLeft w:val="0"/>
          <w:marRight w:val="0"/>
          <w:marTop w:val="0"/>
          <w:marBottom w:val="0"/>
          <w:divBdr>
            <w:top w:val="none" w:sz="0" w:space="0" w:color="auto"/>
            <w:left w:val="none" w:sz="0" w:space="0" w:color="auto"/>
            <w:bottom w:val="none" w:sz="0" w:space="0" w:color="auto"/>
            <w:right w:val="none" w:sz="0" w:space="0" w:color="auto"/>
          </w:divBdr>
          <w:divsChild>
            <w:div w:id="273679329">
              <w:marLeft w:val="0"/>
              <w:marRight w:val="0"/>
              <w:marTop w:val="0"/>
              <w:marBottom w:val="0"/>
              <w:divBdr>
                <w:top w:val="none" w:sz="0" w:space="0" w:color="auto"/>
                <w:left w:val="none" w:sz="0" w:space="0" w:color="auto"/>
                <w:bottom w:val="none" w:sz="0" w:space="0" w:color="auto"/>
                <w:right w:val="none" w:sz="0" w:space="0" w:color="auto"/>
              </w:divBdr>
              <w:divsChild>
                <w:div w:id="196546618">
                  <w:marLeft w:val="0"/>
                  <w:marRight w:val="0"/>
                  <w:marTop w:val="0"/>
                  <w:marBottom w:val="0"/>
                  <w:divBdr>
                    <w:top w:val="none" w:sz="0" w:space="0" w:color="auto"/>
                    <w:left w:val="none" w:sz="0" w:space="0" w:color="auto"/>
                    <w:bottom w:val="none" w:sz="0" w:space="0" w:color="auto"/>
                    <w:right w:val="none" w:sz="0" w:space="0" w:color="auto"/>
                  </w:divBdr>
                  <w:divsChild>
                    <w:div w:id="7563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0760">
              <w:marLeft w:val="0"/>
              <w:marRight w:val="240"/>
              <w:marTop w:val="0"/>
              <w:marBottom w:val="0"/>
              <w:divBdr>
                <w:top w:val="none" w:sz="0" w:space="0" w:color="auto"/>
                <w:left w:val="none" w:sz="0" w:space="0" w:color="auto"/>
                <w:bottom w:val="none" w:sz="0" w:space="0" w:color="auto"/>
                <w:right w:val="none" w:sz="0" w:space="0" w:color="auto"/>
              </w:divBdr>
              <w:divsChild>
                <w:div w:id="1193306905">
                  <w:marLeft w:val="0"/>
                  <w:marRight w:val="0"/>
                  <w:marTop w:val="0"/>
                  <w:marBottom w:val="0"/>
                  <w:divBdr>
                    <w:top w:val="none" w:sz="0" w:space="0" w:color="auto"/>
                    <w:left w:val="none" w:sz="0" w:space="0" w:color="auto"/>
                    <w:bottom w:val="none" w:sz="0" w:space="0" w:color="auto"/>
                    <w:right w:val="none" w:sz="0" w:space="0" w:color="auto"/>
                  </w:divBdr>
                  <w:divsChild>
                    <w:div w:id="14994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8647">
      <w:bodyDiv w:val="1"/>
      <w:marLeft w:val="0"/>
      <w:marRight w:val="0"/>
      <w:marTop w:val="0"/>
      <w:marBottom w:val="0"/>
      <w:divBdr>
        <w:top w:val="none" w:sz="0" w:space="0" w:color="auto"/>
        <w:left w:val="none" w:sz="0" w:space="0" w:color="auto"/>
        <w:bottom w:val="none" w:sz="0" w:space="0" w:color="auto"/>
        <w:right w:val="none" w:sz="0" w:space="0" w:color="auto"/>
      </w:divBdr>
      <w:divsChild>
        <w:div w:id="1103573032">
          <w:marLeft w:val="0"/>
          <w:marRight w:val="0"/>
          <w:marTop w:val="0"/>
          <w:marBottom w:val="240"/>
          <w:divBdr>
            <w:top w:val="none" w:sz="0" w:space="0" w:color="auto"/>
            <w:left w:val="none" w:sz="0" w:space="0" w:color="auto"/>
            <w:bottom w:val="none" w:sz="0" w:space="0" w:color="auto"/>
            <w:right w:val="none" w:sz="0" w:space="0" w:color="auto"/>
          </w:divBdr>
          <w:divsChild>
            <w:div w:id="361983833">
              <w:marLeft w:val="0"/>
              <w:marRight w:val="0"/>
              <w:marTop w:val="240"/>
              <w:marBottom w:val="240"/>
              <w:divBdr>
                <w:top w:val="single" w:sz="6" w:space="9" w:color="E0E0E0"/>
                <w:left w:val="single" w:sz="6" w:space="12" w:color="E0E0E0"/>
                <w:bottom w:val="single" w:sz="6" w:space="9" w:color="E0E0E0"/>
                <w:right w:val="single" w:sz="6" w:space="12" w:color="E0E0E0"/>
              </w:divBdr>
              <w:divsChild>
                <w:div w:id="1581327143">
                  <w:marLeft w:val="0"/>
                  <w:marRight w:val="0"/>
                  <w:marTop w:val="0"/>
                  <w:marBottom w:val="0"/>
                  <w:divBdr>
                    <w:top w:val="none" w:sz="0" w:space="0" w:color="auto"/>
                    <w:left w:val="none" w:sz="0" w:space="0" w:color="auto"/>
                    <w:bottom w:val="none" w:sz="0" w:space="0" w:color="auto"/>
                    <w:right w:val="none" w:sz="0" w:space="0" w:color="auto"/>
                  </w:divBdr>
                </w:div>
              </w:divsChild>
            </w:div>
            <w:div w:id="1223372438">
              <w:marLeft w:val="0"/>
              <w:marRight w:val="0"/>
              <w:marTop w:val="0"/>
              <w:marBottom w:val="0"/>
              <w:divBdr>
                <w:top w:val="none" w:sz="0" w:space="0" w:color="auto"/>
                <w:left w:val="none" w:sz="0" w:space="0" w:color="auto"/>
                <w:bottom w:val="none" w:sz="0" w:space="0" w:color="auto"/>
                <w:right w:val="none" w:sz="0" w:space="0" w:color="auto"/>
              </w:divBdr>
              <w:divsChild>
                <w:div w:id="1644847251">
                  <w:marLeft w:val="0"/>
                  <w:marRight w:val="0"/>
                  <w:marTop w:val="0"/>
                  <w:marBottom w:val="0"/>
                  <w:divBdr>
                    <w:top w:val="none" w:sz="0" w:space="0" w:color="auto"/>
                    <w:left w:val="none" w:sz="0" w:space="0" w:color="auto"/>
                    <w:bottom w:val="none" w:sz="0" w:space="0" w:color="auto"/>
                    <w:right w:val="none" w:sz="0" w:space="0" w:color="auto"/>
                  </w:divBdr>
                </w:div>
              </w:divsChild>
            </w:div>
            <w:div w:id="1866866883">
              <w:marLeft w:val="0"/>
              <w:marRight w:val="0"/>
              <w:marTop w:val="0"/>
              <w:marBottom w:val="0"/>
              <w:divBdr>
                <w:top w:val="none" w:sz="0" w:space="0" w:color="auto"/>
                <w:left w:val="none" w:sz="0" w:space="0" w:color="auto"/>
                <w:bottom w:val="none" w:sz="0" w:space="0" w:color="auto"/>
                <w:right w:val="none" w:sz="0" w:space="0" w:color="auto"/>
              </w:divBdr>
            </w:div>
          </w:divsChild>
        </w:div>
        <w:div w:id="1708724234">
          <w:marLeft w:val="0"/>
          <w:marRight w:val="0"/>
          <w:marTop w:val="0"/>
          <w:marBottom w:val="0"/>
          <w:divBdr>
            <w:top w:val="none" w:sz="0" w:space="0" w:color="auto"/>
            <w:left w:val="none" w:sz="0" w:space="0" w:color="auto"/>
            <w:bottom w:val="none" w:sz="0" w:space="0" w:color="auto"/>
            <w:right w:val="none" w:sz="0" w:space="0" w:color="auto"/>
          </w:divBdr>
          <w:divsChild>
            <w:div w:id="1318148168">
              <w:marLeft w:val="0"/>
              <w:marRight w:val="0"/>
              <w:marTop w:val="0"/>
              <w:marBottom w:val="0"/>
              <w:divBdr>
                <w:top w:val="none" w:sz="0" w:space="0" w:color="auto"/>
                <w:left w:val="none" w:sz="0" w:space="0" w:color="auto"/>
                <w:bottom w:val="none" w:sz="0" w:space="0" w:color="auto"/>
                <w:right w:val="none" w:sz="0" w:space="0" w:color="auto"/>
              </w:divBdr>
              <w:divsChild>
                <w:div w:id="174657913">
                  <w:marLeft w:val="0"/>
                  <w:marRight w:val="0"/>
                  <w:marTop w:val="0"/>
                  <w:marBottom w:val="0"/>
                  <w:divBdr>
                    <w:top w:val="none" w:sz="0" w:space="0" w:color="auto"/>
                    <w:left w:val="none" w:sz="0" w:space="0" w:color="auto"/>
                    <w:bottom w:val="none" w:sz="0" w:space="0" w:color="auto"/>
                    <w:right w:val="none" w:sz="0" w:space="0" w:color="auto"/>
                  </w:divBdr>
                  <w:divsChild>
                    <w:div w:id="5458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1097">
              <w:marLeft w:val="0"/>
              <w:marRight w:val="240"/>
              <w:marTop w:val="0"/>
              <w:marBottom w:val="0"/>
              <w:divBdr>
                <w:top w:val="none" w:sz="0" w:space="0" w:color="auto"/>
                <w:left w:val="none" w:sz="0" w:space="0" w:color="auto"/>
                <w:bottom w:val="none" w:sz="0" w:space="0" w:color="auto"/>
                <w:right w:val="none" w:sz="0" w:space="0" w:color="auto"/>
              </w:divBdr>
              <w:divsChild>
                <w:div w:id="1333681408">
                  <w:marLeft w:val="0"/>
                  <w:marRight w:val="0"/>
                  <w:marTop w:val="0"/>
                  <w:marBottom w:val="0"/>
                  <w:divBdr>
                    <w:top w:val="none" w:sz="0" w:space="0" w:color="auto"/>
                    <w:left w:val="none" w:sz="0" w:space="0" w:color="auto"/>
                    <w:bottom w:val="none" w:sz="0" w:space="0" w:color="auto"/>
                    <w:right w:val="none" w:sz="0" w:space="0" w:color="auto"/>
                  </w:divBdr>
                  <w:divsChild>
                    <w:div w:id="1918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dat-dai/luat-nha-o-cua-quoc-hoi-so-27-2023-qh15-284800-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uatvietnam.vn/dat-dai/luat-dat-dai-2024-296638-d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VNN.R9</cp:lastModifiedBy>
  <cp:revision>9</cp:revision>
  <dcterms:created xsi:type="dcterms:W3CDTF">2024-10-30T03:28:00Z</dcterms:created>
  <dcterms:modified xsi:type="dcterms:W3CDTF">2024-11-26T15:49:00Z</dcterms:modified>
</cp:coreProperties>
</file>